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2155" w14:textId="77777777" w:rsidR="00C50693" w:rsidRDefault="00C50693" w:rsidP="00C50693">
      <w:pPr>
        <w:rPr>
          <w:i/>
          <w:iCs/>
        </w:rPr>
      </w:pPr>
      <w:r>
        <w:rPr>
          <w:i/>
          <w:iCs/>
        </w:rPr>
        <w:t>The Final Date for submitting questions has been extended to Wednesday, June 7</w:t>
      </w:r>
      <w:r>
        <w:rPr>
          <w:i/>
          <w:iCs/>
          <w:vertAlign w:val="superscript"/>
        </w:rPr>
        <w:t>th</w:t>
      </w:r>
      <w:r>
        <w:rPr>
          <w:i/>
          <w:iCs/>
        </w:rPr>
        <w:t>. Additionally, DESEU will host a follow up virtual Q/A session #2 on Tuesday, June 6</w:t>
      </w:r>
      <w:r>
        <w:rPr>
          <w:i/>
          <w:iCs/>
          <w:vertAlign w:val="superscript"/>
        </w:rPr>
        <w:t>th</w:t>
      </w:r>
      <w:r>
        <w:rPr>
          <w:i/>
          <w:iCs/>
        </w:rPr>
        <w:t xml:space="preserve"> @ 2 PM ET to address additional questions from bidders. Please register with DESEU in advance.</w:t>
      </w:r>
    </w:p>
    <w:p w14:paraId="745C756D" w14:textId="77777777" w:rsidR="009E7BB9" w:rsidRDefault="009E7BB9"/>
    <w:p w14:paraId="1EC93FAC" w14:textId="77777777" w:rsidR="00C50693" w:rsidRDefault="00C50693"/>
    <w:p w14:paraId="708CE52E" w14:textId="5227FAF3" w:rsidR="00C50693" w:rsidRDefault="00C50693">
      <w:r>
        <w:t>Question 1.1</w:t>
      </w:r>
    </w:p>
    <w:p w14:paraId="4DF28CB5" w14:textId="77777777" w:rsidR="00C50693" w:rsidRDefault="00C50693" w:rsidP="00C5069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Page 3 of the RFP references four appendices, however, the RFP PDF only seems to contain one (Attachment A. Project list and general description). Can you point us to the other three? </w:t>
      </w:r>
    </w:p>
    <w:p w14:paraId="564F0077" w14:textId="585D3F0D" w:rsidR="00C50693" w:rsidRDefault="00C50693" w:rsidP="00C5069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Answer 1.1</w:t>
      </w:r>
    </w:p>
    <w:p w14:paraId="666B7960" w14:textId="7FEC132F" w:rsidR="00C50693" w:rsidRPr="00C50693" w:rsidRDefault="00C50693" w:rsidP="00C50693">
      <w:pPr>
        <w:ind w:left="360"/>
        <w:rPr>
          <w:rFonts w:eastAsia="Times New Roman"/>
          <w:color w:val="000000"/>
        </w:rPr>
      </w:pPr>
      <w:r w:rsidRPr="00C50693">
        <w:rPr>
          <w:rFonts w:eastAsia="Times New Roman"/>
          <w:color w:val="000000"/>
        </w:rPr>
        <w:t>The other three are the program guideline, a sample M&amp;V report and an audit report of 2011 Bond Issue. My initial thought is to attach all these to the RFP</w:t>
      </w:r>
      <w:r>
        <w:rPr>
          <w:rFonts w:eastAsia="Times New Roman"/>
          <w:color w:val="000000"/>
        </w:rPr>
        <w:t>.</w:t>
      </w:r>
      <w:r w:rsidRPr="00C5069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B</w:t>
      </w:r>
      <w:r w:rsidRPr="00C50693">
        <w:rPr>
          <w:rFonts w:eastAsia="Times New Roman"/>
          <w:color w:val="000000"/>
        </w:rPr>
        <w:t xml:space="preserve">ut after consulting several experts, </w:t>
      </w:r>
      <w:r>
        <w:rPr>
          <w:rFonts w:eastAsia="Times New Roman"/>
          <w:color w:val="000000"/>
        </w:rPr>
        <w:t xml:space="preserve">we decided to provide </w:t>
      </w:r>
      <w:r w:rsidRPr="00C50693">
        <w:rPr>
          <w:rFonts w:eastAsia="Times New Roman"/>
          <w:color w:val="000000"/>
        </w:rPr>
        <w:t xml:space="preserve">only the table of all past projects. </w:t>
      </w:r>
    </w:p>
    <w:p w14:paraId="6AE594BB" w14:textId="0C48B350" w:rsidR="00C50693" w:rsidRPr="00C50693" w:rsidRDefault="00C50693" w:rsidP="00C50693">
      <w:pPr>
        <w:rPr>
          <w:rFonts w:eastAsia="Times New Roman"/>
        </w:rPr>
      </w:pPr>
      <w:r>
        <w:rPr>
          <w:rFonts w:eastAsia="Times New Roman"/>
        </w:rPr>
        <w:t>Question 1.2</w:t>
      </w:r>
    </w:p>
    <w:p w14:paraId="25E035B0" w14:textId="34959E45" w:rsidR="00C50693" w:rsidRDefault="00C50693" w:rsidP="00C50693">
      <w:pPr>
        <w:ind w:left="720"/>
        <w:rPr>
          <w:rFonts w:eastAsia="Times New Roman"/>
        </w:rPr>
      </w:pPr>
      <w:r w:rsidRPr="00C50693">
        <w:rPr>
          <w:rFonts w:eastAsia="Times New Roman"/>
        </w:rPr>
        <w:t>It would be helpful to have an example audit report and M&amp;V report. If you are not distributing those, do you have a list of measures that have been installed through the program?</w:t>
      </w:r>
    </w:p>
    <w:p w14:paraId="3CD7370D" w14:textId="77777777" w:rsidR="00C50693" w:rsidRDefault="00C50693" w:rsidP="00C50693">
      <w:pPr>
        <w:rPr>
          <w:rFonts w:eastAsia="Times New Roman"/>
        </w:rPr>
      </w:pPr>
      <w:r>
        <w:rPr>
          <w:rFonts w:eastAsia="Times New Roman"/>
        </w:rPr>
        <w:t>Answer 1.2</w:t>
      </w:r>
    </w:p>
    <w:p w14:paraId="36EC637C" w14:textId="53FCBC05" w:rsidR="00C50693" w:rsidRPr="00C50693" w:rsidRDefault="00C50693" w:rsidP="00C50693">
      <w:pPr>
        <w:rPr>
          <w:rFonts w:eastAsia="Times New Roman"/>
        </w:rPr>
      </w:pPr>
      <w:r>
        <w:rPr>
          <w:rFonts w:eastAsia="Times New Roman"/>
        </w:rPr>
        <w:tab/>
        <w:t>Here are some examples of the ECMs installed in the ESPC projects</w:t>
      </w:r>
      <w:r>
        <w:rPr>
          <w:rFonts w:eastAsia="Times New Roman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7694"/>
      </w:tblGrid>
      <w:tr w:rsidR="00C50693" w14:paraId="59428E32" w14:textId="77777777" w:rsidTr="00C50693">
        <w:trPr>
          <w:trHeight w:val="827"/>
        </w:trPr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151BB" w14:textId="77777777" w:rsidR="00C50693" w:rsidRDefault="00C50693">
            <w:r>
              <w:t>Delaware National Guard</w:t>
            </w:r>
          </w:p>
        </w:tc>
        <w:tc>
          <w:tcPr>
            <w:tcW w:w="7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49ED" w14:textId="77777777" w:rsidR="00C50693" w:rsidRDefault="00C50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ECMs</w:t>
            </w:r>
          </w:p>
          <w:p w14:paraId="450483D6" w14:textId="5E180B1D" w:rsidR="00C50693" w:rsidRPr="00C50693" w:rsidRDefault="00C5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Lighting retrofit within the following buildings to a system of direct wire LED T-8 lamps</w:t>
            </w:r>
            <w:r>
              <w:rPr>
                <w:sz w:val="20"/>
                <w:szCs w:val="20"/>
              </w:rPr>
              <w:br/>
              <w:t>• Installation of vending miser controls on vending machines</w:t>
            </w:r>
            <w:r>
              <w:rPr>
                <w:sz w:val="20"/>
                <w:szCs w:val="20"/>
              </w:rPr>
              <w:br/>
              <w:t>• Building automation and energy management systems</w:t>
            </w:r>
            <w:r>
              <w:rPr>
                <w:sz w:val="20"/>
                <w:szCs w:val="20"/>
              </w:rPr>
              <w:br/>
              <w:t>• Building envelope improvements</w:t>
            </w:r>
            <w:r>
              <w:rPr>
                <w:sz w:val="20"/>
                <w:szCs w:val="20"/>
              </w:rPr>
              <w:br/>
              <w:t>• Photovoltaic panels</w:t>
            </w:r>
          </w:p>
        </w:tc>
      </w:tr>
      <w:tr w:rsidR="00C50693" w14:paraId="066430BE" w14:textId="77777777" w:rsidTr="00C50693">
        <w:trPr>
          <w:trHeight w:val="827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5EBC1" w14:textId="77777777" w:rsidR="00C50693" w:rsidRDefault="00C50693">
            <w:r>
              <w:t>Christiana School District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31EB" w14:textId="77777777" w:rsidR="00C50693" w:rsidRDefault="00C50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ECMs</w:t>
            </w:r>
          </w:p>
          <w:p w14:paraId="4404C772" w14:textId="46E9FF0F" w:rsidR="00C50693" w:rsidRPr="00C50693" w:rsidRDefault="00C5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Cooling and heating systems</w:t>
            </w:r>
            <w:r>
              <w:rPr>
                <w:sz w:val="20"/>
                <w:szCs w:val="20"/>
              </w:rPr>
              <w:br/>
              <w:t>• Hot water and air distribution systems</w:t>
            </w:r>
            <w:r>
              <w:rPr>
                <w:sz w:val="20"/>
                <w:szCs w:val="20"/>
              </w:rPr>
              <w:br/>
              <w:t>• Lighting system upgrades and new fixtures</w:t>
            </w:r>
            <w:r>
              <w:rPr>
                <w:sz w:val="20"/>
                <w:szCs w:val="20"/>
              </w:rPr>
              <w:br/>
              <w:t>• New building automation energy management control systems</w:t>
            </w:r>
            <w:r>
              <w:rPr>
                <w:sz w:val="20"/>
                <w:szCs w:val="20"/>
              </w:rPr>
              <w:br/>
              <w:t>• New water fixtures and technologies</w:t>
            </w:r>
            <w:r>
              <w:rPr>
                <w:sz w:val="20"/>
                <w:szCs w:val="20"/>
              </w:rPr>
              <w:br/>
              <w:t>• Building envelope infiltration reduction</w:t>
            </w:r>
            <w:r>
              <w:rPr>
                <w:sz w:val="20"/>
                <w:szCs w:val="20"/>
              </w:rPr>
              <w:br/>
              <w:t>• CO2 monitoring</w:t>
            </w:r>
            <w:r>
              <w:rPr>
                <w:sz w:val="20"/>
                <w:szCs w:val="20"/>
              </w:rPr>
              <w:br/>
              <w:t>• Cooling and heating improvements</w:t>
            </w:r>
          </w:p>
        </w:tc>
      </w:tr>
      <w:tr w:rsidR="00C50693" w14:paraId="46875645" w14:textId="77777777" w:rsidTr="00C50693">
        <w:trPr>
          <w:trHeight w:val="1083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5EE0A" w14:textId="77777777" w:rsidR="00C50693" w:rsidRDefault="00C50693">
            <w:r>
              <w:t>DE Department of Correction (DOC)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CEA73" w14:textId="77777777" w:rsidR="00C50693" w:rsidRPr="00C50693" w:rsidRDefault="00C50693">
            <w:pPr>
              <w:rPr>
                <w:b/>
                <w:bCs/>
              </w:rPr>
            </w:pPr>
            <w:r w:rsidRPr="00C50693">
              <w:rPr>
                <w:b/>
                <w:bCs/>
              </w:rPr>
              <w:t>ECMs:</w:t>
            </w:r>
          </w:p>
          <w:p w14:paraId="3E3D08CC" w14:textId="12D64985" w:rsidR="00C50693" w:rsidRDefault="00C50693">
            <w:r>
              <w:t>Booster Pumps, Decentralize Steam System, DCV, EMS, Inc Machines, Lighting, Ozone Laundry, Programable Thermostats, Pre-Rinse Sprayers, Propane to Natural Gas Conversation, Water Conservation</w:t>
            </w:r>
          </w:p>
        </w:tc>
      </w:tr>
      <w:tr w:rsidR="00C50693" w14:paraId="0E4F0C64" w14:textId="77777777" w:rsidTr="00C50693">
        <w:trPr>
          <w:trHeight w:val="25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57EF0" w14:textId="77777777" w:rsidR="00C50693" w:rsidRDefault="00C50693">
            <w:r>
              <w:t>DE Kids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6DA1" w14:textId="77777777" w:rsidR="00C50693" w:rsidRPr="00C50693" w:rsidRDefault="00C50693">
            <w:pPr>
              <w:rPr>
                <w:b/>
                <w:bCs/>
              </w:rPr>
            </w:pPr>
            <w:r w:rsidRPr="00C50693">
              <w:rPr>
                <w:b/>
                <w:bCs/>
              </w:rPr>
              <w:t>ECMs:</w:t>
            </w:r>
          </w:p>
          <w:p w14:paraId="34F0B186" w14:textId="77777777" w:rsidR="00C50693" w:rsidRDefault="00C50693">
            <w:pPr>
              <w:autoSpaceDE w:val="0"/>
              <w:autoSpaceDN w:val="0"/>
              <w:rPr>
                <w:rFonts w:ascii="Whitney-Medium" w:hAnsi="Whitney-Medium"/>
                <w:color w:val="000000"/>
              </w:rPr>
            </w:pPr>
            <w:r>
              <w:rPr>
                <w:rFonts w:ascii="Whitney-Medium" w:hAnsi="Whitney-Medium"/>
                <w:color w:val="000000"/>
              </w:rPr>
              <w:t>Lightings, Water Conservation, Replace Cooling Tower, Variable Speed Condenser, Water Pump, Replace Variable Frequency Drives on AHUs</w:t>
            </w:r>
          </w:p>
          <w:p w14:paraId="10D73B39" w14:textId="77777777" w:rsidR="00C50693" w:rsidRDefault="00C50693">
            <w:pPr>
              <w:autoSpaceDE w:val="0"/>
              <w:autoSpaceDN w:val="0"/>
              <w:rPr>
                <w:rFonts w:ascii="Whitney-Medium" w:hAnsi="Whitney-Medium"/>
                <w:color w:val="000000"/>
              </w:rPr>
            </w:pPr>
            <w:r>
              <w:rPr>
                <w:rFonts w:ascii="Whitney-Medium" w:hAnsi="Whitney-Medium"/>
                <w:color w:val="000000"/>
              </w:rPr>
              <w:t>Renovate VAV System, Automate Cooling Tower Bypass Valves, Full Controls System Replacement, Controls Retro-Commissioning</w:t>
            </w:r>
          </w:p>
          <w:p w14:paraId="3DE4D1BD" w14:textId="060A8986" w:rsidR="00C50693" w:rsidRPr="00C50693" w:rsidRDefault="00C50693">
            <w:pPr>
              <w:rPr>
                <w:rFonts w:ascii="Whitney-Medium" w:hAnsi="Whitney-Medium"/>
                <w:color w:val="000000"/>
              </w:rPr>
            </w:pPr>
            <w:r>
              <w:rPr>
                <w:rFonts w:ascii="Whitney-Medium" w:hAnsi="Whitney-Medium"/>
                <w:color w:val="000000"/>
              </w:rPr>
              <w:t>Renovate Handicap Entrance</w:t>
            </w:r>
          </w:p>
        </w:tc>
      </w:tr>
    </w:tbl>
    <w:p w14:paraId="3C48D19A" w14:textId="2590968D" w:rsidR="00C50693" w:rsidRPr="00C50693" w:rsidRDefault="00C50693" w:rsidP="00C50693">
      <w:pPr>
        <w:rPr>
          <w:rFonts w:eastAsia="Times New Roman"/>
        </w:rPr>
      </w:pPr>
    </w:p>
    <w:p w14:paraId="7F839851" w14:textId="77777777" w:rsidR="00AD3052" w:rsidRDefault="00AD3052" w:rsidP="00AD3052">
      <w:pPr>
        <w:rPr>
          <w:rFonts w:eastAsia="Times New Roman"/>
        </w:rPr>
      </w:pPr>
    </w:p>
    <w:p w14:paraId="7C5471DE" w14:textId="77777777" w:rsidR="00AD3052" w:rsidRDefault="00AD3052" w:rsidP="00AD3052">
      <w:pPr>
        <w:rPr>
          <w:rFonts w:eastAsia="Times New Roman"/>
        </w:rPr>
      </w:pPr>
      <w:r>
        <w:rPr>
          <w:rFonts w:eastAsia="Times New Roman"/>
        </w:rPr>
        <w:t>Question 2</w:t>
      </w:r>
    </w:p>
    <w:p w14:paraId="2B2E29A7" w14:textId="77777777" w:rsidR="00AD3052" w:rsidRDefault="00AD3052" w:rsidP="00AD3052">
      <w:pPr>
        <w:pStyle w:val="ListParagrap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Are the cost savings shown in the project list lifetime savings or annual savings?</w:t>
      </w:r>
    </w:p>
    <w:p w14:paraId="01BF8B2B" w14:textId="2E270311" w:rsidR="00AD3052" w:rsidRDefault="00AD3052" w:rsidP="00AD305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Answer 2</w:t>
      </w:r>
    </w:p>
    <w:p w14:paraId="0056EBFB" w14:textId="207D0F76" w:rsidR="00AD3052" w:rsidRPr="00AD3052" w:rsidRDefault="0004200F" w:rsidP="00AD3052">
      <w:pPr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Annual Savings. </w:t>
      </w:r>
    </w:p>
    <w:p w14:paraId="16703F7B" w14:textId="77777777" w:rsidR="00C50693" w:rsidRDefault="00C50693" w:rsidP="00C50693"/>
    <w:p w14:paraId="2E244EC6" w14:textId="1F12510F" w:rsidR="00C50693" w:rsidRDefault="00AD3052">
      <w:r>
        <w:lastRenderedPageBreak/>
        <w:t>Question 3</w:t>
      </w:r>
    </w:p>
    <w:p w14:paraId="6D414C7C" w14:textId="77777777" w:rsidR="00AD3052" w:rsidRDefault="00AD3052" w:rsidP="00AD3052">
      <w:pPr>
        <w:pStyle w:val="xxmsolistparagraph"/>
        <w:rPr>
          <w:rFonts w:eastAsia="Times New Roman"/>
        </w:rPr>
      </w:pPr>
      <w:r>
        <w:rPr>
          <w:rFonts w:eastAsia="Times New Roman"/>
        </w:rPr>
        <w:t>The RFP lists the anticipated start date, but do you also have a target timeframe to complete the evaluation?</w:t>
      </w:r>
    </w:p>
    <w:p w14:paraId="2433834B" w14:textId="47529E96" w:rsidR="00AD3052" w:rsidRDefault="00AD3052" w:rsidP="00AD3052">
      <w:pPr>
        <w:pStyle w:val="xxmsolistparagraph"/>
        <w:ind w:left="0"/>
        <w:rPr>
          <w:rFonts w:eastAsia="Times New Roman"/>
        </w:rPr>
      </w:pPr>
      <w:r>
        <w:rPr>
          <w:rFonts w:eastAsia="Times New Roman"/>
        </w:rPr>
        <w:t>Answer 3</w:t>
      </w:r>
    </w:p>
    <w:p w14:paraId="13479EF2" w14:textId="75C3F6C8" w:rsidR="00AD3052" w:rsidRDefault="00AD3052" w:rsidP="00AD3052">
      <w:pPr>
        <w:pStyle w:val="xxmsolistparagraph"/>
        <w:ind w:left="0"/>
        <w:rPr>
          <w:rFonts w:eastAsia="Times New Roman"/>
        </w:rPr>
      </w:pPr>
      <w:r>
        <w:rPr>
          <w:rFonts w:eastAsia="Times New Roman"/>
        </w:rPr>
        <w:t>On Page 8 and 11, under section D content proposal, we are asking bidder to provide a timeline for each task. The timeframe I have in mind is 3 – 6 months.</w:t>
      </w:r>
    </w:p>
    <w:p w14:paraId="08A3C135" w14:textId="77777777" w:rsidR="00AD3052" w:rsidRDefault="00AD3052" w:rsidP="00AD3052">
      <w:pPr>
        <w:pStyle w:val="xxmsolistparagraph"/>
        <w:ind w:left="0"/>
        <w:rPr>
          <w:rFonts w:eastAsia="Times New Roman"/>
        </w:rPr>
      </w:pPr>
    </w:p>
    <w:p w14:paraId="2DEAC1CC" w14:textId="458D1E04" w:rsidR="00AD3052" w:rsidRDefault="00AD3052" w:rsidP="00AD3052">
      <w:pPr>
        <w:pStyle w:val="xxmsolistparagraph"/>
        <w:ind w:left="0"/>
        <w:rPr>
          <w:rFonts w:eastAsia="Times New Roman"/>
        </w:rPr>
      </w:pPr>
      <w:r>
        <w:rPr>
          <w:rFonts w:eastAsia="Times New Roman"/>
        </w:rPr>
        <w:t>Question 4</w:t>
      </w:r>
    </w:p>
    <w:p w14:paraId="55144CC2" w14:textId="77777777" w:rsidR="00AD3052" w:rsidRDefault="00AD3052" w:rsidP="00AD3052">
      <w:pPr>
        <w:pStyle w:val="xxmsolistparagraph"/>
        <w:rPr>
          <w:rFonts w:eastAsia="Times New Roman"/>
        </w:rPr>
      </w:pPr>
      <w:r>
        <w:rPr>
          <w:rFonts w:eastAsia="Times New Roman"/>
        </w:rPr>
        <w:t>Reference is made to “ESPC Protocols”. Are there specific documents that you feel should govern the M&amp;V reports for this program?</w:t>
      </w:r>
    </w:p>
    <w:p w14:paraId="1C809297" w14:textId="30416CDC" w:rsidR="00AD3052" w:rsidRDefault="00AD3052" w:rsidP="00AD3052">
      <w:pPr>
        <w:pStyle w:val="xxmsolistparagraph"/>
        <w:ind w:left="0"/>
        <w:rPr>
          <w:rFonts w:eastAsia="Times New Roman"/>
        </w:rPr>
      </w:pPr>
      <w:r>
        <w:rPr>
          <w:rFonts w:eastAsia="Times New Roman"/>
        </w:rPr>
        <w:t>Answer 4</w:t>
      </w:r>
    </w:p>
    <w:p w14:paraId="0B4AEAE3" w14:textId="0A65025A" w:rsidR="00AD3052" w:rsidRDefault="00AD3052" w:rsidP="00AD3052">
      <w:pPr>
        <w:pStyle w:val="xxmsolistparagraph"/>
        <w:ind w:left="0"/>
        <w:rPr>
          <w:rFonts w:eastAsia="Times New Roman"/>
        </w:rPr>
      </w:pPr>
      <w:r>
        <w:rPr>
          <w:rFonts w:eastAsia="Times New Roman"/>
        </w:rPr>
        <w:tab/>
        <w:t xml:space="preserve">It refers to the ESPC Program Guidelines. </w:t>
      </w:r>
    </w:p>
    <w:p w14:paraId="12DDF05F" w14:textId="77777777" w:rsidR="00AD3052" w:rsidRDefault="00AD3052" w:rsidP="00AD3052">
      <w:pPr>
        <w:pStyle w:val="xxmsolistparagraph"/>
        <w:ind w:left="0"/>
        <w:rPr>
          <w:rFonts w:eastAsia="Times New Roman"/>
        </w:rPr>
      </w:pPr>
    </w:p>
    <w:p w14:paraId="2FC1493F" w14:textId="67BF1344" w:rsidR="00AD3052" w:rsidRDefault="00AD3052" w:rsidP="00AD3052">
      <w:pPr>
        <w:pStyle w:val="xxmsolistparagraph"/>
        <w:ind w:left="0"/>
        <w:rPr>
          <w:rFonts w:eastAsia="Times New Roman"/>
        </w:rPr>
      </w:pPr>
      <w:r>
        <w:rPr>
          <w:rFonts w:eastAsia="Times New Roman"/>
        </w:rPr>
        <w:t>Question 5</w:t>
      </w:r>
    </w:p>
    <w:p w14:paraId="0F227DBB" w14:textId="77777777" w:rsidR="00AD3052" w:rsidRDefault="00AD3052" w:rsidP="00AD3052">
      <w:pPr>
        <w:pStyle w:val="xxmsolistparagraph"/>
        <w:rPr>
          <w:rFonts w:eastAsia="Times New Roman"/>
        </w:rPr>
      </w:pPr>
      <w:r>
        <w:rPr>
          <w:rFonts w:eastAsia="Times New Roman"/>
        </w:rPr>
        <w:t>Are all ESPC Projects listed out in Table A</w:t>
      </w:r>
    </w:p>
    <w:p w14:paraId="555F84B9" w14:textId="77777777" w:rsidR="00AD3052" w:rsidRDefault="00AD3052" w:rsidP="00AD3052">
      <w:pPr>
        <w:pStyle w:val="xxmsolistparagraph"/>
        <w:ind w:left="0"/>
        <w:rPr>
          <w:rFonts w:eastAsia="Times New Roman"/>
        </w:rPr>
      </w:pPr>
      <w:r>
        <w:rPr>
          <w:rFonts w:eastAsia="Times New Roman"/>
        </w:rPr>
        <w:t>Answer 5</w:t>
      </w:r>
    </w:p>
    <w:p w14:paraId="01AA56EF" w14:textId="77777777" w:rsidR="00AD3052" w:rsidRDefault="00AD3052" w:rsidP="00AD3052">
      <w:pPr>
        <w:pStyle w:val="xxmsolistparagraph"/>
        <w:ind w:left="0" w:firstLine="720"/>
        <w:rPr>
          <w:rFonts w:eastAsia="Times New Roman"/>
        </w:rPr>
      </w:pPr>
      <w:r>
        <w:rPr>
          <w:rFonts w:eastAsia="Times New Roman"/>
        </w:rPr>
        <w:t>Yes.</w:t>
      </w:r>
    </w:p>
    <w:p w14:paraId="4B40D5EB" w14:textId="77777777" w:rsidR="00AD3052" w:rsidRDefault="00AD3052" w:rsidP="00AD3052">
      <w:pPr>
        <w:pStyle w:val="xxmsolistparagraph"/>
        <w:ind w:left="0"/>
        <w:rPr>
          <w:rFonts w:eastAsia="Times New Roman"/>
        </w:rPr>
      </w:pPr>
    </w:p>
    <w:p w14:paraId="60DDDD26" w14:textId="77777777" w:rsidR="00AD3052" w:rsidRDefault="00AD3052" w:rsidP="00AD3052">
      <w:pPr>
        <w:pStyle w:val="xxmsolistparagraph"/>
        <w:ind w:left="0"/>
        <w:rPr>
          <w:rFonts w:eastAsia="Times New Roman"/>
        </w:rPr>
      </w:pPr>
      <w:r>
        <w:rPr>
          <w:rFonts w:eastAsia="Times New Roman"/>
        </w:rPr>
        <w:t>Question 6</w:t>
      </w:r>
    </w:p>
    <w:p w14:paraId="666BED19" w14:textId="2F5B6928" w:rsidR="00AD3052" w:rsidRDefault="00AD3052" w:rsidP="00AD3052">
      <w:pPr>
        <w:pStyle w:val="xxmsolistparagraph"/>
        <w:ind w:left="0" w:firstLine="720"/>
        <w:rPr>
          <w:rFonts w:eastAsia="Times New Roman"/>
        </w:rPr>
      </w:pPr>
      <w:r>
        <w:rPr>
          <w:rFonts w:eastAsia="Times New Roman"/>
        </w:rPr>
        <w:t>Do you have a preliminary target for the number of nonparticipants you’d like to survey?</w:t>
      </w:r>
    </w:p>
    <w:p w14:paraId="72CAC27A" w14:textId="5CC29C3A" w:rsidR="00AD3052" w:rsidRDefault="00AD3052" w:rsidP="00AD3052">
      <w:pPr>
        <w:pStyle w:val="xxmsolistparagraph"/>
        <w:ind w:left="0"/>
        <w:rPr>
          <w:rFonts w:eastAsia="Times New Roman"/>
        </w:rPr>
      </w:pPr>
      <w:r>
        <w:rPr>
          <w:rFonts w:eastAsia="Times New Roman"/>
        </w:rPr>
        <w:t>Answer 7</w:t>
      </w:r>
    </w:p>
    <w:p w14:paraId="0D151C30" w14:textId="4DF06611" w:rsidR="00AD3052" w:rsidRDefault="00AD3052" w:rsidP="00AD3052">
      <w:pPr>
        <w:pStyle w:val="xxmsolistparagraph"/>
        <w:ind w:left="0"/>
        <w:rPr>
          <w:rFonts w:eastAsia="Times New Roman"/>
        </w:rPr>
      </w:pPr>
      <w:r>
        <w:rPr>
          <w:rFonts w:eastAsia="Times New Roman"/>
        </w:rPr>
        <w:tab/>
        <w:t xml:space="preserve">I do have a preliminary target for what type of organizations should be surveyed as nonparticipants, not a clear number. The goal for this survey is to figure out why the eligible organizations are not utilizing the program and how to get them on board.  </w:t>
      </w:r>
    </w:p>
    <w:p w14:paraId="065C035D" w14:textId="77777777" w:rsidR="00AD3052" w:rsidRDefault="00AD3052"/>
    <w:sectPr w:rsidR="00AD3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291"/>
    <w:multiLevelType w:val="hybridMultilevel"/>
    <w:tmpl w:val="942AB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5A8C"/>
    <w:multiLevelType w:val="hybridMultilevel"/>
    <w:tmpl w:val="9BA6B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F3B80"/>
    <w:multiLevelType w:val="multilevel"/>
    <w:tmpl w:val="9D28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07344C"/>
    <w:multiLevelType w:val="hybridMultilevel"/>
    <w:tmpl w:val="5F302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9558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7523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14901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9210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3E"/>
    <w:rsid w:val="0004200F"/>
    <w:rsid w:val="0011383E"/>
    <w:rsid w:val="00346266"/>
    <w:rsid w:val="009E7BB9"/>
    <w:rsid w:val="00AD3052"/>
    <w:rsid w:val="00C5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AF97"/>
  <w15:chartTrackingRefBased/>
  <w15:docId w15:val="{B726570F-3CCA-4057-ACD2-74D24510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69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693"/>
    <w:pPr>
      <w:ind w:left="720"/>
    </w:pPr>
  </w:style>
  <w:style w:type="paragraph" w:customStyle="1" w:styleId="xxmsolistparagraph">
    <w:name w:val="x_xmsolistparagraph"/>
    <w:basedOn w:val="Normal"/>
    <w:rsid w:val="00AD30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Bi</dc:creator>
  <cp:keywords/>
  <dc:description/>
  <cp:lastModifiedBy>Athena Bi</cp:lastModifiedBy>
  <cp:revision>3</cp:revision>
  <dcterms:created xsi:type="dcterms:W3CDTF">2023-05-24T16:49:00Z</dcterms:created>
  <dcterms:modified xsi:type="dcterms:W3CDTF">2023-05-24T18:55:00Z</dcterms:modified>
</cp:coreProperties>
</file>